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DA COMISSÃO DE LEGISLAÇÃO, JUSTIÇA E REDAÇÃO FINAL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PARECER N° 00   /2026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PROJETO DE LEI Nº 003/2026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Origem</w:t>
      </w:r>
      <w:r w:rsidDel="00000000" w:rsidR="00000000" w:rsidRPr="00000000">
        <w:rPr>
          <w:b w:val="0"/>
          <w:bCs w:val="0"/>
          <w:rtl w:val="0"/>
        </w:rPr>
        <w:t xml:space="preserve">: Poder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Ementa: </w:t>
      </w:r>
      <w:r w:rsidDel="00000000" w:rsidR="00000000" w:rsidRPr="00000000">
        <w:rPr>
          <w:b w:val="0"/>
          <w:bCs w:val="0"/>
          <w:rtl w:val="0"/>
        </w:rPr>
        <w:t xml:space="preserve">Abre crédito especial ao orçamento vigente 2026 por superávit financeiro no valor de R$ 96.000,00, (noventa e seis mil reais), para construção de calçamento em paralelepípedos no sítio barragem e dá outras providências.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RELATOR: </w:t>
      </w:r>
      <w:r w:rsidDel="00000000" w:rsidR="00000000" w:rsidRPr="00000000">
        <w:rPr>
          <w:b w:val="0"/>
          <w:bCs w:val="0"/>
          <w:rtl w:val="0"/>
        </w:rPr>
        <w:t xml:space="preserve">Ver. Marlison Alexandre dos Santos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 Projeto de Lei nº 003/2026, de iniciativa do Poder Executivo Municipal, tem por objetivo abrir crédito especial ao orçamento vigente 2026 por superávit financeiro no valor de R$ 96.000,00, (noventa e seis mil reais), para construção de calçamento em paralelepípedos no sítio barragem e dá outras providências.</w:t>
      </w:r>
    </w:p>
    <w:p w:rsidR="00000000" w:rsidDel="00000000" w:rsidP="00000000" w:rsidRDefault="00000000" w:rsidRPr="00000000" w14:paraId="00000012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Constituição Federal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De acordo com a Constituição Federal, o processo orçamentário e a abertura de créditos adicionais obedecerão aos seguintes dispositivos: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165, §8º – estabelece que os orçamentos devem ser elaborados de forma compatível com o plano plurianual e com as diretrizes orçamentárias;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167, V – proíbe a abertura de crédito suplementar ou especial sem prévia autorização legislativa e sem indicação dos recursos correspondentes;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169 – impõe limites à despesa pública e reforça a responsabilidade na gestão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Tais preceitos asseguram o princípio da legalidade orçamentária, o controle legislativo sobre as finanças públicas e a observância da transparência e equilíbrio fiscal.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Legislação Municipal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Segundo a Constituição Municipal de Cuitegi, a lei Orgânica Municipal, Seção II, Das Atribuições do prefeito em seu Art. 12, e 60 e 61: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12, III - Compete à Câmara Municipal, com a sanção do Prefeito, dispor sobre todas as matérias de competência do Município e, especialmente: votar o orçamento anual e o plurianual de investimentos, bem como autorizar a abertura de créditos suplementares e especiais;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60. Ao Prefeito, como chefe da administração, compete dar cumprimento às deliberações da Câmara, dirigir, fiscalizar e defender os interesses do Município, bem como adotar, de acordo com a lei, todas as medidas administrativas de utilidade pública, sem exceder as verbas orçamentárias.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III– CONSTITUCIONALIDADE, LEGALIDADE E FORMA</w:t>
      </w:r>
    </w:p>
    <w:p w:rsidR="00000000" w:rsidDel="00000000" w:rsidP="00000000" w:rsidRDefault="00000000" w:rsidRPr="00000000" w14:paraId="00000026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ab/>
        <w:t xml:space="preserve">O Projeto de Lei nº 003/2026 atende aos requisitos de constitucionalidade, legalidade, juridicidade, de acordo com as normas constitucionais e a Lei Complementar Nº 95, DE 26 DE FEVEREIRO DE 1998, pois estão materialmente constitucionais e formalmente constitucionais aos olhos deste relator. </w:t>
      </w:r>
    </w:p>
    <w:p w:rsidR="00000000" w:rsidDel="00000000" w:rsidP="00000000" w:rsidRDefault="00000000" w:rsidRPr="00000000" w14:paraId="00000027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Diante do exposto, com base em todas as bases constitucionais já citadas, e Lei Orgânica do Município, opino pela CONSTITUCIONALIDADE, LEGALIDADE E REGIMENTALIDADE do Projeto de Lei nº 003/2026.</w:t>
      </w:r>
    </w:p>
    <w:p w:rsidR="00000000" w:rsidDel="00000000" w:rsidP="00000000" w:rsidRDefault="00000000" w:rsidRPr="00000000" w14:paraId="0000002A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Comissão de Finanças, Tributação, Administração e Desenvolvimento Urbano em reunião conjunta com a CLJRF acompanhou integralmente o voto do relator constante neste parecer.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Sala das Comissões, 10 de fevereiro de 2026.</w:t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Ver. Marlison Alexandre dos Santos, </w:t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" w:top="1700" w:left="170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befor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ESTADO DA PARAÍBA</w:t>
    </w:r>
  </w:p>
  <w:p w:rsidR="00000000" w:rsidDel="00000000" w:rsidP="00000000" w:rsidRDefault="00000000" w:rsidRPr="00000000" w14:paraId="00000033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CÂMARA MUNICIPAL DE CUITEGI</w:t>
    </w:r>
  </w:p>
  <w:p w:rsidR="00000000" w:rsidDel="00000000" w:rsidP="00000000" w:rsidRDefault="00000000" w:rsidRPr="00000000" w14:paraId="00000034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35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36">
    <w:pPr>
      <w:spacing w:before="240" w:lineRule="auto"/>
      <w:jc w:val="center"/>
      <w:rPr>
        <w:rFonts w:ascii="Times New Roman" w:cs="Times New Roman" w:eastAsia="Times New Roman" w:hAnsi="Times New Roman"/>
        <w:b w:val="0"/>
        <w:bCs w:val="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