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006/2025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vem, por meio desta, após apresentado ao plenário, que seja oficiado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Excelentíssimo Senhor Prefeito Municipal de Cuitegi -PB</w:t>
      </w:r>
      <w:r w:rsidDel="00000000" w:rsidR="00000000" w:rsidRPr="00000000">
        <w:rPr>
          <w:sz w:val="24"/>
          <w:szCs w:val="24"/>
          <w:rtl w:val="0"/>
        </w:rPr>
        <w:t xml:space="preserve">, para que, por meio da Secretaria Municipal de Obras ou órgão competente similar,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proceda o: 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Complemento do calçamento do Sítio Palmeira, entre a parte que compreende entre o término do calçamento da Capela até Seu Deda Monteiro e a parte que compreende do posto de saúde até a entrada já calçada da Comunidade Frei Damião.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solicitação visa atender às reivindicações dos moradores da localidade, que sentem a necessidade de uma melhor condição de locomoção em tempos de chuva.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importante destacar que o direito à locomoção é um direito fundamental assegurado pela Constituição Federal de 1988, em seu artigo 5º, inciso XV, que dispõe:</w:t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"é livre a locomoção no território nacional em tempo de paz, podendo qualquer pessoa, nos termos da lei, nele entrar, permanecer ou dele sair com seus bens".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ausência de infraestrutura rural básica que garanta esse direito configura não apenas omissão administrativa, mas também afronta aos princípios constitucionais da dignidade da pessoa humana e da função social da cidade.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Trata-se, portanto, de uma medida de interesse coletivo, que proporcionará melhor qualidade de vida aos cidadãos e contribuirá para o desenvolvimento rural da região.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5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1A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1B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1C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