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DISPÕE SOBRE CONCESSÃO DO TÍTULO DE CIDADÃO CUITEGIENSE AO MÉDICO DR. IVAN JULIÃO DA CUNHA E DÁ OUTRAS PROVIDÊNCIAS.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05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título de cidadão honorário de município de Cuitegi/PB ao Senhor </w:t>
      </w:r>
      <w:r w:rsidDel="00000000" w:rsidR="00000000" w:rsidRPr="00000000">
        <w:rPr>
          <w:rtl w:val="0"/>
        </w:rPr>
        <w:t xml:space="preserve">IVAN JULIÃO DA CUNHA</w:t>
      </w:r>
      <w:r w:rsidDel="00000000" w:rsidR="00000000" w:rsidRPr="00000000">
        <w:rPr>
          <w:b w:val="0"/>
          <w:rtl w:val="0"/>
        </w:rPr>
        <w:t xml:space="preserve">, e dá outras providências.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do vereador Marlison Alexandre dos Santos, tem como objetivo homenagear o médico e Servidor Público do município de Cuitegi, de destacada atuação, cuja trajetória de trabalho, ética e compromisso social, </w:t>
      </w:r>
      <w:r w:rsidDel="00000000" w:rsidR="00000000" w:rsidRPr="00000000">
        <w:rPr>
          <w:b w:val="0"/>
          <w:rtl w:val="0"/>
        </w:rPr>
        <w:t xml:space="preserve">contribuindo</w:t>
      </w:r>
      <w:r w:rsidDel="00000000" w:rsidR="00000000" w:rsidRPr="00000000">
        <w:rPr>
          <w:b w:val="0"/>
          <w:rtl w:val="0"/>
        </w:rPr>
        <w:t xml:space="preserve"> para o desenvolvimento da saúde do nosso povo cuitegiense. 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tenham prestado relevantes serviços ao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nacionais e estrangeiras,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04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005/2025.</w:t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setembro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8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