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COMISSÃO DE LEGISLAÇÃO , JUSTIÇA E REDAÇÃO FINAL</w:t>
      </w:r>
    </w:p>
    <w:p w:rsidR="00000000" w:rsidDel="00000000" w:rsidP="00000000" w:rsidRDefault="00000000" w:rsidRPr="00000000" w14:paraId="00000003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PARECER N° 01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5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LEI Nº 01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b w:val="1"/>
          <w:sz w:val="24"/>
          <w:szCs w:val="24"/>
          <w:rtl w:val="0"/>
        </w:rPr>
        <w:t xml:space="preserve">/2025</w:t>
      </w:r>
    </w:p>
    <w:p w:rsidR="00000000" w:rsidDel="00000000" w:rsidP="00000000" w:rsidRDefault="00000000" w:rsidRPr="00000000" w14:paraId="00000007">
      <w:pPr>
        <w:widowControl w:val="0"/>
        <w:spacing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Origem</w:t>
      </w:r>
      <w:r w:rsidDel="00000000" w:rsidR="00000000" w:rsidRPr="00000000">
        <w:rPr>
          <w:b w:val="0"/>
          <w:sz w:val="24"/>
          <w:szCs w:val="24"/>
          <w:rtl w:val="0"/>
        </w:rPr>
        <w:t xml:space="preserve">: Po</w:t>
      </w:r>
      <w:r w:rsidDel="00000000" w:rsidR="00000000" w:rsidRPr="00000000">
        <w:rPr>
          <w:b w:val="0"/>
          <w:rtl w:val="0"/>
        </w:rPr>
        <w:t xml:space="preserve">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0"/>
        </w:rPr>
      </w:pPr>
      <w:r w:rsidDel="00000000" w:rsidR="00000000" w:rsidRPr="00000000">
        <w:rPr>
          <w:rtl w:val="0"/>
        </w:rPr>
        <w:t xml:space="preserve">Ementa</w:t>
      </w:r>
      <w:r w:rsidDel="00000000" w:rsidR="00000000" w:rsidRPr="00000000">
        <w:rPr>
          <w:b w:val="0"/>
          <w:sz w:val="24"/>
          <w:szCs w:val="24"/>
          <w:rtl w:val="0"/>
        </w:rPr>
        <w:t xml:space="preserve">: </w:t>
      </w:r>
      <w:r w:rsidDel="00000000" w:rsidR="00000000" w:rsidRPr="00000000">
        <w:rPr>
          <w:b w:val="0"/>
          <w:rtl w:val="0"/>
        </w:rPr>
        <w:t xml:space="preserve">Dispõe sobre a denominação de praça pública localizada na Rua Pantaleão de Almeida, Bairro Santo Antônio. Para que a mesma denomina-se Praça José Cândido dos Santos.</w:t>
      </w:r>
    </w:p>
    <w:p w:rsidR="00000000" w:rsidDel="00000000" w:rsidP="00000000" w:rsidRDefault="00000000" w:rsidRPr="00000000" w14:paraId="0000000B">
      <w:pPr>
        <w:widowControl w:val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RELATOR: </w:t>
      </w:r>
      <w:r w:rsidDel="00000000" w:rsidR="00000000" w:rsidRPr="00000000">
        <w:rPr>
          <w:b w:val="0"/>
          <w:sz w:val="24"/>
          <w:szCs w:val="24"/>
          <w:rtl w:val="0"/>
        </w:rPr>
        <w:t xml:space="preserve">Ver. Marlison Alexandre dos Santos </w:t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0" w:firstLine="0"/>
        <w:jc w:val="both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76" w:lineRule="auto"/>
        <w:ind w:left="0"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Trata-se de análise do Projeto de Lei nº 01</w:t>
      </w:r>
      <w:r w:rsidDel="00000000" w:rsidR="00000000" w:rsidRPr="00000000">
        <w:rPr>
          <w:b w:val="0"/>
          <w:rtl w:val="0"/>
        </w:rPr>
        <w:t xml:space="preserve">7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/2025, de autoria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, que tem por objetivo </w:t>
      </w:r>
      <w:r w:rsidDel="00000000" w:rsidR="00000000" w:rsidRPr="00000000">
        <w:rPr>
          <w:b w:val="0"/>
          <w:rtl w:val="0"/>
        </w:rPr>
        <w:t xml:space="preserve">denominar a praça pública localizada na Rua Pantaleão de Almeida, Bairro Santo Antônio, seja denominada de Praça José Cândido dos Santos.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O presente Projeto de Lei, de iniciativa do vereador Willame Roseno Lima visa denominar a praça pública situada no bairro Santo Antônio, homenageando um prestigiado cidadão cuitegiense.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Como forma de homenagear esse grande cidadão cuitegiense, o vereador supracitado propõe que a praça situada na referida rua passe a se chamar Praça José Cândido dos Santos, em reconhecimento à sua história de trabalho, convivência e contribuição para a comunidade.</w:t>
      </w:r>
    </w:p>
    <w:p w:rsidR="00000000" w:rsidDel="00000000" w:rsidP="00000000" w:rsidRDefault="00000000" w:rsidRPr="00000000" w14:paraId="00000014">
      <w:pPr>
        <w:widowControl w:val="0"/>
        <w:spacing w:after="240" w:before="240" w:line="276" w:lineRule="auto"/>
        <w:ind w:firstLine="72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FUNDAMENTAÇÃO LEGAL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Constituição Federal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Nos termos do art. 30 da Carta Constitucional, assegura aos Municípios a competência para legislar sobre assuntos de interesse local, o que inclui:</w:t>
      </w:r>
    </w:p>
    <w:p w:rsidR="00000000" w:rsidDel="00000000" w:rsidP="00000000" w:rsidRDefault="00000000" w:rsidRPr="00000000" w14:paraId="00000019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II - suplementar a legislação federal e a estadual no que couber; 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200" w:before="200" w:lineRule="auto"/>
        <w:ind w:left="720" w:firstLine="580"/>
        <w:rPr>
          <w:b w:val="0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Da Legislação Federal </w:t>
      </w:r>
      <w:r w:rsidDel="00000000" w:rsidR="00000000" w:rsidRPr="00000000">
        <w:rPr>
          <w:b w:val="0"/>
          <w:rtl w:val="0"/>
        </w:rPr>
        <w:t xml:space="preserve">e/ou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</w:t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ab/>
        <w:t xml:space="preserve">Segundo a Constituição Municipal de Cuitegi, a lei Orgânica Municipal, em seu artigo 12, alínea XVI,</w:t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ind w:left="0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[..]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Art. 12. Compete à Câmara Municipal, com a sanção do Prefeito, dispor</w:t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sobre todas as matérias de competência do Município e, especialmente:</w:t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ab/>
        <w:t xml:space="preserve">XVI - autorizar a alteração da denominação de próprios, vias e</w:t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logradouros públicos;</w:t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[...]</w:t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ind w:left="2267.71653543307" w:firstLine="0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40" w:before="240" w:lineRule="auto"/>
        <w:ind w:left="720" w:hanging="36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Competência Legislativa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Nos termos do art. 30, assegura aos Municípios a competência para legislar sobre assuntos de interesse local, o que inclui: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1547.7165354330702"/>
        <w:jc w:val="both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Art.30 da Constituição Federal,</w:t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200" w:before="200" w:lineRule="auto"/>
        <w:ind w:left="720" w:firstLine="1547.7165354330702"/>
        <w:jc w:val="both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legislar sobre assuntos de interesse local;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200" w:before="200" w:lineRule="auto"/>
        <w:ind w:left="720" w:firstLine="1547.7165354330702"/>
        <w:jc w:val="both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suplementar a legislação federal e a estadual no que couber;  </w:t>
      </w:r>
    </w:p>
    <w:p w:rsidR="00000000" w:rsidDel="00000000" w:rsidP="00000000" w:rsidRDefault="00000000" w:rsidRPr="00000000" w14:paraId="0000002D">
      <w:pPr>
        <w:widowControl w:val="0"/>
        <w:spacing w:after="240" w:before="240" w:line="276" w:lineRule="auto"/>
        <w:ind w:left="720" w:firstLine="1547.7165354330702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left="720" w:firstLine="720"/>
        <w:rPr>
          <w:b w:val="0"/>
        </w:rPr>
      </w:pPr>
      <w:r w:rsidDel="00000000" w:rsidR="00000000" w:rsidRPr="00000000">
        <w:rPr>
          <w:b w:val="0"/>
          <w:rtl w:val="0"/>
        </w:rPr>
        <w:t xml:space="preserve">A Lei Orgânica do Município também faz referência, em seu Art 28, entre outras funções destaco o inciso IV: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Art. 28. O processo legislativo municipal compreende a elaboração de:</w:t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 - Emendas à Lei Orgânica Municipal;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 - Leis complementares;</w:t>
      </w:r>
    </w:p>
    <w:p w:rsidR="00000000" w:rsidDel="00000000" w:rsidP="00000000" w:rsidRDefault="00000000" w:rsidRPr="00000000" w14:paraId="00000032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III - Leis ordinárias;</w:t>
      </w:r>
    </w:p>
    <w:p w:rsidR="00000000" w:rsidDel="00000000" w:rsidP="00000000" w:rsidRDefault="00000000" w:rsidRPr="00000000" w14:paraId="00000033">
      <w:pPr>
        <w:widowControl w:val="0"/>
        <w:spacing w:after="240" w:before="240" w:line="276" w:lineRule="auto"/>
        <w:ind w:firstLine="2267.71653543307"/>
        <w:rPr>
          <w:b w:val="0"/>
          <w:i w:val="1"/>
          <w:sz w:val="20"/>
          <w:szCs w:val="20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IV - Decretos legislativos;</w:t>
      </w:r>
    </w:p>
    <w:p w:rsidR="00000000" w:rsidDel="00000000" w:rsidP="00000000" w:rsidRDefault="00000000" w:rsidRPr="00000000" w14:paraId="00000034">
      <w:pPr>
        <w:widowControl w:val="0"/>
        <w:spacing w:after="240" w:before="240" w:line="276" w:lineRule="auto"/>
        <w:ind w:firstLine="2267.71653543307"/>
        <w:rPr>
          <w:b w:val="0"/>
          <w:i w:val="1"/>
        </w:rPr>
      </w:pPr>
      <w:r w:rsidDel="00000000" w:rsidR="00000000" w:rsidRPr="00000000">
        <w:rPr>
          <w:b w:val="0"/>
          <w:i w:val="1"/>
          <w:sz w:val="20"/>
          <w:szCs w:val="20"/>
          <w:rtl w:val="0"/>
        </w:rPr>
        <w:t xml:space="preserve">V - Resoluções.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firstLine="72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III– CONSTITUCIONALIDADE E LEGALIDADE</w:t>
      </w:r>
    </w:p>
    <w:p w:rsidR="00000000" w:rsidDel="00000000" w:rsidP="00000000" w:rsidRDefault="00000000" w:rsidRPr="00000000" w14:paraId="00000037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ab/>
        <w:t xml:space="preserve">O Projeto de Lei nº 01</w:t>
      </w:r>
      <w:r w:rsidDel="00000000" w:rsidR="00000000" w:rsidRPr="00000000">
        <w:rPr>
          <w:b w:val="0"/>
          <w:rtl w:val="0"/>
        </w:rPr>
        <w:t xml:space="preserve">7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 atende aos requisitos de constitucionalidade, legalidade e juridicidade, pois está de acordo com as normas constitucionais, leis ordinárias e complementares, tratados e resoluções. Não havendo vício de iniciativa, uma vez que a proposição é prerrogativa do Poder </w:t>
      </w:r>
      <w:r w:rsidDel="00000000" w:rsidR="00000000" w:rsidRPr="00000000">
        <w:rPr>
          <w:b w:val="0"/>
          <w:rtl w:val="0"/>
        </w:rPr>
        <w:t xml:space="preserve">Legislativo</w:t>
      </w:r>
      <w:r w:rsidDel="00000000" w:rsidR="00000000" w:rsidRPr="00000000">
        <w:rPr>
          <w:b w:val="0"/>
          <w:sz w:val="24"/>
          <w:szCs w:val="24"/>
          <w:rtl w:val="0"/>
        </w:rPr>
        <w:t xml:space="preserve"> municipal e tramita em conformidade com as normas legais.</w:t>
      </w:r>
    </w:p>
    <w:p w:rsidR="00000000" w:rsidDel="00000000" w:rsidP="00000000" w:rsidRDefault="00000000" w:rsidRPr="00000000" w14:paraId="00000038">
      <w:pPr>
        <w:widowControl w:val="0"/>
        <w:spacing w:after="240" w:before="24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sz w:val="24"/>
          <w:szCs w:val="24"/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Diante do exposto, com base em todas as bases constitucionais já citadas, e Lei Orgânica do Município, opino pela CONSTITUCIONALIDADE, LEGALIDADE E REGIMENTALIDADE do Projeto de Lei nº 01</w:t>
      </w:r>
      <w:r w:rsidDel="00000000" w:rsidR="00000000" w:rsidRPr="00000000">
        <w:rPr>
          <w:b w:val="0"/>
          <w:rtl w:val="0"/>
        </w:rPr>
        <w:t xml:space="preserve">7</w:t>
      </w:r>
      <w:r w:rsidDel="00000000" w:rsidR="00000000" w:rsidRPr="00000000">
        <w:rPr>
          <w:b w:val="0"/>
          <w:sz w:val="24"/>
          <w:szCs w:val="24"/>
          <w:rtl w:val="0"/>
        </w:rPr>
        <w:t xml:space="preserve">/2025</w:t>
      </w:r>
      <w:r w:rsidDel="00000000" w:rsidR="00000000" w:rsidRPr="00000000">
        <w:rPr>
          <w:b w:val="0"/>
          <w:rtl w:val="0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spacing w:after="240" w:before="240" w:lineRule="auto"/>
        <w:ind w:firstLine="720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Em conjunto às comissões de Comissão de Comissão de Finanças, Tributação, Administração e Desenvolvimento Urbano, acompanharam o voto do relator pela tramitação regular do Projeto de Lei 017/2025.</w:t>
      </w:r>
    </w:p>
    <w:p w:rsidR="00000000" w:rsidDel="00000000" w:rsidP="00000000" w:rsidRDefault="00000000" w:rsidRPr="00000000" w14:paraId="0000003C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240" w:before="240" w:lineRule="auto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240" w:before="240" w:lineRule="auto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Sala das Comissões, </w:t>
      </w:r>
      <w:r w:rsidDel="00000000" w:rsidR="00000000" w:rsidRPr="00000000">
        <w:rPr>
          <w:b w:val="0"/>
          <w:rtl w:val="0"/>
        </w:rPr>
        <w:t xml:space="preserve">23</w:t>
      </w:r>
      <w:r w:rsidDel="00000000" w:rsidR="00000000" w:rsidRPr="00000000">
        <w:rPr>
          <w:b w:val="0"/>
          <w:sz w:val="24"/>
          <w:szCs w:val="24"/>
          <w:rtl w:val="0"/>
        </w:rPr>
        <w:t xml:space="preserve"> de</w:t>
      </w:r>
      <w:r w:rsidDel="00000000" w:rsidR="00000000" w:rsidRPr="00000000">
        <w:rPr>
          <w:b w:val="0"/>
          <w:rtl w:val="0"/>
        </w:rPr>
        <w:t xml:space="preserve"> junho</w:t>
      </w:r>
      <w:r w:rsidDel="00000000" w:rsidR="00000000" w:rsidRPr="00000000">
        <w:rPr>
          <w:b w:val="0"/>
          <w:sz w:val="24"/>
          <w:szCs w:val="24"/>
          <w:rtl w:val="0"/>
        </w:rPr>
        <w:t xml:space="preserve"> de 2025.</w:t>
      </w:r>
    </w:p>
    <w:p w:rsidR="00000000" w:rsidDel="00000000" w:rsidP="00000000" w:rsidRDefault="00000000" w:rsidRPr="00000000" w14:paraId="00000041">
      <w:pPr>
        <w:widowControl w:val="0"/>
        <w:spacing w:after="240" w:before="240" w:lineRule="auto"/>
        <w:jc w:val="left"/>
        <w:rPr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40" w:before="240" w:lineRule="auto"/>
        <w:jc w:val="center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ind w:firstLine="72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Ver. Marlison Alexandre dos Santos, 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46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47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48">
    <w:pPr>
      <w:widowControl w:val="0"/>
      <w:spacing w:line="240" w:lineRule="auto"/>
      <w:jc w:val="center"/>
      <w:rPr>
        <w:b w:val="0"/>
        <w:sz w:val="24"/>
        <w:szCs w:val="24"/>
      </w:rPr>
    </w:pPr>
    <w:r w:rsidDel="00000000" w:rsidR="00000000" w:rsidRPr="00000000">
      <w:rPr>
        <w:b w:val="0"/>
        <w:sz w:val="24"/>
        <w:szCs w:val="24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49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b w:val="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sz w:val="24"/>
        <w:szCs w:val="24"/>
        <w:lang w:val="pt_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