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01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PROJETO DE DECRETO LEGISLATIVO</w:t>
      </w:r>
      <w:r w:rsidDel="00000000" w:rsidR="00000000" w:rsidRPr="00000000">
        <w:rPr>
          <w:b w:val="1"/>
          <w:sz w:val="24"/>
          <w:szCs w:val="24"/>
          <w:rtl w:val="0"/>
        </w:rPr>
        <w:t xml:space="preserve"> Nº 0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Legislativo  Municipal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Concede homenagem de Honra ao Mérito ao estudante João Gabriel Miguel dos Santos, em reconhecimento pelas conquistas da medalha de prata na competição nacional e ouro na regional na 19° edição da Olimpíada Brasileira de Matemática das Escolas Públicas (OBMEP), representando o município de Cuitegi/PB.</w:t>
      </w:r>
    </w:p>
    <w:p w:rsidR="00000000" w:rsidDel="00000000" w:rsidP="00000000" w:rsidRDefault="00000000" w:rsidRPr="00000000" w14:paraId="0000000B">
      <w:pPr>
        <w:widowControl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de</w:t>
      </w:r>
      <w:r w:rsidDel="00000000" w:rsidR="00000000" w:rsidRPr="00000000">
        <w:rPr>
          <w:b w:val="0"/>
          <w:rtl w:val="0"/>
        </w:rPr>
        <w:t xml:space="preserve"> 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02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, que tem por objetivo </w:t>
      </w:r>
      <w:r w:rsidDel="00000000" w:rsidR="00000000" w:rsidRPr="00000000">
        <w:rPr>
          <w:b w:val="0"/>
          <w:rtl w:val="0"/>
        </w:rPr>
        <w:t xml:space="preserve">conceder homenagem de Honra ao Mérito ao estudante João Gabriel Miguel dos Santos, em reconhecimento pelas conquistas da medalha de prata na competição nacional e ouro na regional na 19° edição da Olimpíada Brasileira de Matemática das Escolas Públicas (OBMEP), representando o município de Cuitegi/PB.</w:t>
      </w:r>
    </w:p>
    <w:p w:rsidR="00000000" w:rsidDel="00000000" w:rsidP="00000000" w:rsidRDefault="00000000" w:rsidRPr="00000000" w14:paraId="00000012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O presente Projeto de Lei, de iniciativa da vereadora Solange de Ednaldo tem como objetivo homenagear esse grande estudante. A vereadora supracitada propõe que o senhor João Gabriel Miguel dos Santos receba a honraria de Honra ao Mérito, concedida por esta casa legislativa.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Nos termos do art. 30 da Carta Constitucional, assegura aos Municípios a competência para legislar sobre assuntos de interesse local, o que inclui:</w:t>
      </w:r>
    </w:p>
    <w:p w:rsidR="00000000" w:rsidDel="00000000" w:rsidP="00000000" w:rsidRDefault="00000000" w:rsidRPr="00000000" w14:paraId="00000018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II - suplementar a legislação federal e a estadual no que couber; 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Legislação Federal </w:t>
      </w:r>
      <w:r w:rsidDel="00000000" w:rsidR="00000000" w:rsidRPr="00000000">
        <w:rPr>
          <w:b w:val="0"/>
          <w:rtl w:val="0"/>
        </w:rPr>
        <w:t xml:space="preserve">e/ou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  <w:t xml:space="preserve">Segundo a Constituição Municipal de Cuitegi, a lei Orgânica Municipal, em seu artigo 13, alínea XVI,</w:t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13. Compete privativamente à Câmara Municipal exercer as seguintes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atribuições, dentre outras: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XVI - Conceder título de cidadão honorário ou conferir homenagem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 pessoa que reconhecidamente tenha prestado relevantes serviços ao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Município ou nele se destaca pela atuação exemplar na vida pública e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particular, mediante votação da maioria absoluta de seus membros;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Nos termos do art. 30, assegura aos Municípios a competência para legislar sobre assuntos de interesse local, o que inclui: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Art.30 da Constituição Federal e seus demais dispositivos. </w:t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faz referência, em seu Art 28, entre outras funções destaco o inciso IV: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28. O processo legislativo municipal compreende a elaboração de:</w:t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Emendas à Lei Orgânica Municipal;</w:t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Leis complementares;</w:t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Leis ordinárias;</w:t>
      </w:r>
    </w:p>
    <w:p w:rsidR="00000000" w:rsidDel="00000000" w:rsidP="00000000" w:rsidRDefault="00000000" w:rsidRPr="00000000" w14:paraId="00000031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IV - Decretos legislativos;</w:t>
      </w:r>
    </w:p>
    <w:p w:rsidR="00000000" w:rsidDel="00000000" w:rsidP="00000000" w:rsidRDefault="00000000" w:rsidRPr="00000000" w14:paraId="00000032">
      <w:pPr>
        <w:widowControl w:val="0"/>
        <w:spacing w:after="240" w:before="240" w:line="276" w:lineRule="auto"/>
        <w:ind w:firstLine="2267.71653543307"/>
        <w:rPr>
          <w:b w:val="0"/>
          <w:i w:val="1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V - Resoluções.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O regimento interno desta casa também descreve:</w:t>
      </w:r>
    </w:p>
    <w:p w:rsidR="00000000" w:rsidDel="00000000" w:rsidP="00000000" w:rsidRDefault="00000000" w:rsidRPr="00000000" w14:paraId="00000034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202. A Câmara Municipal, através de Decreto Legislativo, poderá conferir as seguintes honrarias:</w:t>
      </w:r>
    </w:p>
    <w:p w:rsidR="00000000" w:rsidDel="00000000" w:rsidP="00000000" w:rsidRDefault="00000000" w:rsidRPr="00000000" w14:paraId="00000036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I. Título de Cidadão Cuitegiense;</w:t>
      </w:r>
    </w:p>
    <w:p w:rsidR="00000000" w:rsidDel="00000000" w:rsidP="00000000" w:rsidRDefault="00000000" w:rsidRPr="00000000" w14:paraId="00000037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II. Comenda Vereadora Lindalva Tomáz Gomes;</w:t>
      </w:r>
    </w:p>
    <w:p w:rsidR="00000000" w:rsidDel="00000000" w:rsidP="00000000" w:rsidRDefault="00000000" w:rsidRPr="00000000" w14:paraId="00000038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III. Diploma de Honra ao Mérito;</w:t>
      </w:r>
    </w:p>
    <w:p w:rsidR="00000000" w:rsidDel="00000000" w:rsidP="00000000" w:rsidRDefault="00000000" w:rsidRPr="00000000" w14:paraId="00000039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203. Através de Decreto Legislativo, as Honrarias serão concedidas a personalidades nacional e estrangeira, radicadas no país, que comprovadamente sejam merecedoras da honraria e com relevantes serviços prestados ao Estado e ao Município.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O Projeto de </w:t>
      </w:r>
      <w:r w:rsidDel="00000000" w:rsidR="00000000" w:rsidRPr="00000000">
        <w:rPr>
          <w:b w:val="0"/>
          <w:rtl w:val="0"/>
        </w:rPr>
        <w:t xml:space="preserve">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02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 atende aos requisitos de constitucionalidade, legalidade e juridicidade, pois está de acordo com as normas constitucionais, leis ordinárias e complementares, tratados e resoluções. Não havendo vício de iniciativa, uma vez que a proposição é prerrogativa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 e tramita em conformidade com as normas legais.</w:t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</w:t>
      </w:r>
      <w:r w:rsidDel="00000000" w:rsidR="00000000" w:rsidRPr="00000000">
        <w:rPr>
          <w:b w:val="0"/>
          <w:rtl w:val="0"/>
        </w:rPr>
        <w:t xml:space="preserve">Projeto de decreto Legislativo nº 002/2025.</w:t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23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junho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4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47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8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9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A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